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</w:rPr>
        <w:tab/>
      </w:r>
      <w:r>
        <w:rPr>
          <w:rStyle w:val="Inget"/>
          <w:rFonts w:ascii="Arial" w:hAnsi="Arial"/>
          <w:b/>
          <w:bCs/>
        </w:rPr>
        <w:t>LOPPURAPORTTI</w:t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</w:r>
      <w:r>
        <w:rPr>
          <w:rStyle w:val="Inget"/>
          <w:rFonts w:ascii="Arial" w:hAnsi="Arial"/>
          <w:b/>
          <w:bCs/>
        </w:rPr>
        <w:tab/>
        <w:t>11.8.2015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S:t Karins svenska skola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isenkatu 1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20780 Kaarina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 xml:space="preserve">S:t Karins svenska skola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b/>
          <w:bCs/>
          <w:sz w:val="28"/>
          <w:szCs w:val="28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  <w:sz w:val="28"/>
          <w:szCs w:val="28"/>
        </w:rPr>
      </w:pPr>
      <w:r>
        <w:rPr>
          <w:rStyle w:val="Inget"/>
          <w:rFonts w:ascii="Arial" w:hAnsi="Arial"/>
          <w:b/>
          <w:bCs/>
          <w:sz w:val="28"/>
          <w:szCs w:val="28"/>
        </w:rPr>
        <w:t xml:space="preserve">Loppuraportti hybriditila ja oppimismotivaatio 2013 </w:t>
      </w:r>
      <w:r>
        <w:rPr>
          <w:rStyle w:val="Inget"/>
          <w:rFonts w:ascii="Arial" w:hAnsi="Arial"/>
          <w:b/>
          <w:bCs/>
          <w:sz w:val="28"/>
          <w:szCs w:val="28"/>
        </w:rPr>
        <w:t xml:space="preserve">– </w:t>
      </w:r>
      <w:r>
        <w:rPr>
          <w:rStyle w:val="Inget"/>
          <w:rFonts w:ascii="Arial" w:hAnsi="Arial"/>
          <w:b/>
          <w:bCs/>
          <w:sz w:val="28"/>
          <w:szCs w:val="28"/>
        </w:rPr>
        <w:t>2014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Juho Heikkinen 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-&gt; vastaanottaja Marko Kuuskorpi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Hankkeen suunnittelun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kohtana on vastata Kaarinan kaupungin ruotsinkielisen koulun S:t. Karins svenska skolanin toimintakulttuurin uudistamiseen liittyviin kehitt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mistarpeiseen, joka edellytt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uudistumista fyysisten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osalta. 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hankkeessa huomio </w:t>
      </w:r>
      <w:r>
        <w:rPr>
          <w:rStyle w:val="Inget"/>
          <w:rFonts w:ascii="Arial" w:hAnsi="Arial"/>
        </w:rPr>
        <w:t>kiinnittyi viel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Suomessa uuteen, mutta pohjoismaissa menestyksellisesti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ytettyyn opetustapa-ajatteluun, jota vapaasti 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en voidaan kutsua 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rakenteeltaan eheytt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opetukseksi (</w:t>
      </w:r>
      <w:r>
        <w:rPr>
          <w:rStyle w:val="Inget"/>
          <w:rFonts w:ascii="Arial" w:hAnsi="Arial"/>
        </w:rPr>
        <w:t>å</w:t>
      </w:r>
      <w:r>
        <w:rPr>
          <w:rStyle w:val="Inget"/>
          <w:rFonts w:ascii="Arial" w:hAnsi="Arial"/>
        </w:rPr>
        <w:t>ldersintegrerad undervisning).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S:t Karins svenska skolan aloittaa </w:t>
      </w:r>
      <w:r>
        <w:rPr>
          <w:rStyle w:val="Inget"/>
          <w:rFonts w:ascii="Arial" w:hAnsi="Arial"/>
        </w:rPr>
        <w:t>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2013 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rakenteeltaan eheytt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opetuksen (</w:t>
      </w:r>
      <w:r>
        <w:rPr>
          <w:rStyle w:val="Inget"/>
          <w:rFonts w:ascii="Arial" w:hAnsi="Arial"/>
        </w:rPr>
        <w:t>å</w:t>
      </w:r>
      <w:r>
        <w:rPr>
          <w:rStyle w:val="Inget"/>
          <w:rFonts w:ascii="Arial" w:hAnsi="Arial"/>
        </w:rPr>
        <w:t>ldersintegrerad undervisning).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tarkoittaa,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samassa luokassa opiskelee oppilaita eri vuosiluokilta. Jokainen opettaja saa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parin tai tiimin, jonka kanssa tehd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yhteisty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erityisesti saman</w:t>
      </w:r>
      <w:r>
        <w:rPr>
          <w:rStyle w:val="Inget"/>
          <w:rFonts w:ascii="Arial" w:hAnsi="Arial"/>
        </w:rPr>
        <w:t>aikais- ja aihepiiriopetukseen liittyvin menetelmin (ts. suunnitellaan, toteutetaan ja arvioidaan yhdess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). Koulussa tulee olemaan kolme luokkaa, jotka opiskelevat joustavan opetuksen tavoin luokissa 1-2A, 1-2B ja 1-2C. Em. positiiviset kokemukset 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raken</w:t>
      </w:r>
      <w:r>
        <w:rPr>
          <w:rStyle w:val="Inget"/>
          <w:rFonts w:ascii="Arial" w:hAnsi="Arial"/>
        </w:rPr>
        <w:t>teeltaan eheytt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opetuksesta jatkuvat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ylemmill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luokilla.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 vuonna 2014 on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kaksi luokka joissa opiskelee oppilaita vuosiluokilta 4, 5 ja 6. He muodostavat luokat 4-6A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4-6B.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rakenteeltaan ehett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opetus edellytt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s erilaisia </w:t>
      </w:r>
      <w:r>
        <w:rPr>
          <w:rStyle w:val="Inget"/>
          <w:rFonts w:ascii="Arial" w:hAnsi="Arial"/>
        </w:rPr>
        <w:t>opetustilaratkaisuja alakouluk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öö</w:t>
      </w:r>
      <w:r>
        <w:rPr>
          <w:rStyle w:val="Inget"/>
          <w:rFonts w:ascii="Arial" w:hAnsi="Arial"/>
        </w:rPr>
        <w:t>n.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uusi hanke hy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dynt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vuonna 2012 aloitettua Kaarinan kaupungin fyysisen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 simulaatio-hankketta (Tilat, kalusteet ja teknologia koulun toimintakulttuurin rikastajana), jossa Piikki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 yhten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iskoululle suunniteltiin ja rakennettiin 90 m2:n suuruinen uusimmalla opetusteknologialla varustettu fyysinen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 xml:space="preserve">ö </w:t>
      </w:r>
      <w:r>
        <w:rPr>
          <w:rStyle w:val="Inget"/>
          <w:rFonts w:ascii="Arial" w:hAnsi="Arial"/>
        </w:rPr>
        <w:t>(ks.www.oppitila.fi) yl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kouluopetuksen tarpeisiin. Samalla hanke pyrkii osaltaan jatkamaan Kaarinan kaupungissa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ynniss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olevaa </w:t>
      </w:r>
      <w:r>
        <w:rPr>
          <w:rStyle w:val="Inget"/>
          <w:rFonts w:ascii="Arial" w:hAnsi="Arial"/>
        </w:rPr>
        <w:t>fyysisen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 kokonaisvaltaiseen kehitt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miseen liittyvi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hankkeita, joka samalla linkitet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valtakunnalliseen fyysisen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 koordinointihankkeeseen. Hanke on yhdist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nyt olemassa olevan tutkimus- ja tuotekehitystiedon ja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jil</w:t>
      </w: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kootun empiirisen tiedon laajaksi kokonaisuudeksi, jota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hanke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ysim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isesti hy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dynt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Hankkeen arviointi toteutetaan jatkuvana prosessina, jolloin hankkeen tuloksia ja vaikutuksia arvioidaan koko hankkeen keston ajan.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arviointia tapah</w:t>
      </w:r>
      <w:r>
        <w:rPr>
          <w:rStyle w:val="Inget"/>
          <w:rFonts w:ascii="Arial" w:hAnsi="Arial"/>
        </w:rPr>
        <w:t>tuu monella tavoin. Keskitetysti ja laaja-mittaisesti arviointia suoritetaan prosessisimulaatioiden yhteydess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Hankkeen aikana suoritetuissa haastatteluissa ja kyselyiss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hankkeen tuloksia ja vaikutuksia arvioidaan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tasolla.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lastRenderedPageBreak/>
        <w:t xml:space="preserve">Tutkimuskysymykset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1. Mill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tavalla perinteisen opetustilan vaihtuminen muunneltavaan hybriditilaan oli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oppilaiden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iseen oppimismotivaatioon? 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2. Millaisia kokemuksia oppilailla oli muunneltavassa hybriditilassa opiskelusta?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  <w:b/>
          <w:bCs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Tutkimusaineisto ja -menetelm</w:t>
      </w:r>
      <w:r>
        <w:rPr>
          <w:rStyle w:val="Inget"/>
          <w:rFonts w:ascii="Arial" w:hAnsi="Arial"/>
          <w:b/>
          <w:bCs/>
        </w:rPr>
        <w:t>ä</w:t>
      </w:r>
      <w:r>
        <w:rPr>
          <w:rStyle w:val="Inget"/>
          <w:rFonts w:ascii="Arial" w:hAnsi="Arial"/>
          <w:b/>
          <w:bCs/>
        </w:rPr>
        <w:t>t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Tutkimuksen aineisto ker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ttiin Kaarinan kaupungin ruotsinkielisess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koulussa (St. Karins svenska skola)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nnen, viidennen ja kuudennen luokan oppilailta. Mittaukset tehtiin kouluvuoden syyslukukauden alkaessa ensimm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kouluviikolla elokuussa, kev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tlukukauden ensimm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kouluviikolla tammikuussa ja kev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tlukukauden lopussa toukokuun puoliv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loppuraportti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ydent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helmikuussa laadittua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liraporttia ja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tiedot kaikista kolmesta mittauksesta.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Oppimismotivaatiomittaukset toteute</w:t>
      </w:r>
      <w:r>
        <w:rPr>
          <w:rStyle w:val="Inget"/>
          <w:rFonts w:ascii="Arial" w:hAnsi="Arial"/>
        </w:rPr>
        <w:t>ttiin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testauksena yht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aikaa tutkimus-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lle. Testaukset teki mittarin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öö</w:t>
      </w:r>
      <w:r>
        <w:rPr>
          <w:rStyle w:val="Inget"/>
          <w:rFonts w:ascii="Arial" w:hAnsi="Arial"/>
        </w:rPr>
        <w:t>n perehtynyt tutkija yhdess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koulun luokanopettajien kanssa. Testitulosten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sittelyst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tulkinnasta vastasivat tutkijat, joista toinen oli psykologi. Psykol</w:t>
      </w:r>
      <w:r>
        <w:rPr>
          <w:rStyle w:val="Inget"/>
          <w:rFonts w:ascii="Arial" w:hAnsi="Arial"/>
        </w:rPr>
        <w:t>ogi vastasi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testipalautteen antamisesta sit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pyyt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neille oppilaille.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Tutkimusryhm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opiskeli lukuvuoden aikana uudessa hybridiluokassa eli muunneltavassa ja joustavassa, erikokoisia pari- ja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muotoja mahdollistavassa luokkatilassa (ks. </w:t>
      </w:r>
      <w:r>
        <w:rPr>
          <w:rStyle w:val="Inget"/>
          <w:rFonts w:ascii="Arial" w:hAnsi="Arial"/>
        </w:rPr>
        <w:t>Kuuskorpi, 2012).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lle opetettiin hybridiluokassa 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osa oppiaineista. Vertailuryhm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opiskeli samaan aikaan perinteisess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, pulpettimuodostelmaisessa ja frontaalijohtoisessa luokkatilassa.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Koulun pienen koon vuoksi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olivat yhdysluokat,</w:t>
      </w:r>
      <w:r>
        <w:rPr>
          <w:rStyle w:val="Inget"/>
          <w:rFonts w:ascii="Arial" w:hAnsi="Arial"/>
        </w:rPr>
        <w:t xml:space="preserve"> jolloin samassa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opiskeli 4.</w:t>
      </w:r>
      <w:r>
        <w:rPr>
          <w:rStyle w:val="Inget"/>
          <w:rFonts w:ascii="Arial" w:hAnsi="Arial"/>
        </w:rPr>
        <w:t>–</w:t>
      </w:r>
      <w:r>
        <w:rPr>
          <w:rStyle w:val="Inget"/>
          <w:rFonts w:ascii="Arial" w:hAnsi="Arial"/>
        </w:rPr>
        <w:t>6.-luokkalaisia. Tutkimus-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omat luokanopettajansa. On todettava, ettei opettajavaikutusta voida kontrolloida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nkaltaisessa tutkimusasetelmassa. Vasta eritt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 suuressa tutkimusaineistossa (us</w:t>
      </w:r>
      <w:r>
        <w:rPr>
          <w:rStyle w:val="Inget"/>
          <w:rFonts w:ascii="Arial" w:hAnsi="Arial"/>
        </w:rPr>
        <w:t>eita tutkimus- ja vertailuryhmi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siten satoja oppilaita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) tutkimuksessa opettajavaikutusta voidaan arvioida.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  <w:b/>
          <w:bCs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Tutkittavat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mittaukseen osallistui kaikkiaan 43 oppilasta. Seurantamittauksissa oppilasm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hieman pienempi: alkumittau</w:t>
      </w:r>
      <w:r>
        <w:rPr>
          <w:rStyle w:val="Inget"/>
          <w:rFonts w:ascii="Arial" w:hAnsi="Arial"/>
        </w:rPr>
        <w:t>ksen n=43,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limittauksen n=41 ja loppumittauksen n=42.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Koska tutkimuksessa tarkasteltiin motivaation muuttumista, analyyseissa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siteltiin niiden oppilaiden tietoja, jotka olivat vastanneet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alku-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loppumittaukseen.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raportissa otoksen koko on siten 40 oppilasta.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Oppilaiden ik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jakautuma oli 9-12 vuotta tutkimuksen aloitusvaiheessa.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sluokkalaisia oli 11 (27,5 %), viidesluokkalaisia 17 (42,5 %) ja kuudesluokkalaisia 12 (30 %).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16 (40 %) ja poikia 24 (6</w:t>
      </w:r>
      <w:r>
        <w:rPr>
          <w:rStyle w:val="Inget"/>
          <w:rFonts w:ascii="Arial" w:hAnsi="Arial"/>
        </w:rPr>
        <w:t>0 %).Tutkimusryhm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30 % (6) ja poikia 70 % (14) ja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50 % (10) ja poikia 50 % (10). Tutkimusryhm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siten poikapainotteinen.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lastRenderedPageBreak/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tilanteessa tutkimus- ja vertailuryhm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eronneet toisistaan miss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oppim</w:t>
      </w:r>
      <w:r>
        <w:rPr>
          <w:rStyle w:val="Inget"/>
          <w:rFonts w:ascii="Arial" w:hAnsi="Arial"/>
        </w:rPr>
        <w:t>ismotivaation viidess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asteikossa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tasolla (p= .155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.955). Sukupuoli ei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ollut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oppilaiden oppimismotivaatioon yleisesti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 oppiaineissa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mittauksessa (p=.077 - .910). Oireellinen ero poikien ja ty</w:t>
      </w:r>
      <w:r>
        <w:rPr>
          <w:rStyle w:val="Inget"/>
          <w:rFonts w:ascii="Arial" w:hAnsi="Arial"/>
        </w:rPr>
        <w:t>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kuitenkin havaittiin: poikien yleinen oppimismotivaatio oli koulun alkaessa (1. mittauksessa)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oppimismotivaatiota matalampi.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rin poikien motivaatio oli tasoa 3,32 ja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3,61 (p=.077), kun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tuloksen raja-arvo</w:t>
      </w:r>
      <w:r>
        <w:rPr>
          <w:rStyle w:val="Inget"/>
          <w:rFonts w:ascii="Arial" w:hAnsi="Arial"/>
        </w:rPr>
        <w:t>na yleens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pidet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 p&lt;.05).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  <w:b/>
          <w:bCs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 xml:space="preserve">Oppimismotivaatiotesti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Aineistonkeruussa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ytettiin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isen oppimismotivaation mittaamiseen Yhdysvalloissa kehitetty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psykologista Children's Academic Intrinsic Motivation Inventory -testi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(jatkossa lyhyemmin CAIMI). </w:t>
      </w:r>
      <w:r>
        <w:rPr>
          <w:rStyle w:val="Inget"/>
          <w:rFonts w:ascii="Arial" w:hAnsi="Arial"/>
        </w:rPr>
        <w:t>(Gottfried, 1986). Alkuper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istestist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nnettiin tutkimusta varten suomalainen versio.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Testiosiot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sitteliv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yleist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oppimismotivaatiota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oppiainekohtaista motivaatiota kolmessa -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aineessa. Motivaatiota tutkittiin oppiaineissa, joita kaikkien eri luokka-asteiden oppilaat opiskelivat. Oppiaineita oli kolme: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idinkieli, uskonto ja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oppi.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5.</w:t>
      </w:r>
      <w:r>
        <w:rPr>
          <w:rStyle w:val="Inget"/>
          <w:rFonts w:ascii="Arial" w:hAnsi="Arial"/>
        </w:rPr>
        <w:t>–</w:t>
      </w:r>
      <w:r>
        <w:rPr>
          <w:rStyle w:val="Inget"/>
          <w:rFonts w:ascii="Arial" w:hAnsi="Arial"/>
        </w:rPr>
        <w:t xml:space="preserve">6.-luokkalaisilta mitattiin fysiikka-kemian oppimismotivaatio.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Yhteens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astei</w:t>
      </w:r>
      <w:r>
        <w:rPr>
          <w:rStyle w:val="Inget"/>
          <w:rFonts w:ascii="Arial" w:hAnsi="Arial"/>
        </w:rPr>
        <w:t>koita per oppilas oli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-viisi. Yleist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oppimismotivaatiota mitattiin 18 kysymyksell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ainekohtaista motivaatiota 26 kysymyksell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kutakin. Yhteens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kysymyksi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96-122 riippuen oppilaan luokkatasosta. Kysymyksiin vastattiin viisiportaisella Likert-a</w:t>
      </w:r>
      <w:r>
        <w:rPr>
          <w:rStyle w:val="Inget"/>
          <w:rFonts w:ascii="Arial" w:hAnsi="Arial"/>
        </w:rPr>
        <w:t xml:space="preserve">steikolla.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CAIMI soveltuu hyvin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muotoisiin testauksiin. Kysymykset ovat ymm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rrett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lapselle sopivia. Testi on arvioitu reliabiliteetiltaan ja validiteetiltaan laadukkaaksi. Testiarvioinnissa esitet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useita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tutkimustietoja. William</w:t>
      </w:r>
      <w:r>
        <w:rPr>
          <w:rStyle w:val="Inget"/>
          <w:rFonts w:ascii="Arial" w:hAnsi="Arial"/>
        </w:rPr>
        <w:t>s (1997) raportoi CAIMI:a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sittelev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testiarviossaan laajasti sen reliabiliteetti- ja validiteettin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>öä</w:t>
      </w:r>
      <w:r>
        <w:rPr>
          <w:rStyle w:val="Inget"/>
          <w:rFonts w:ascii="Arial" w:hAnsi="Arial"/>
        </w:rPr>
        <w:t>. Viiden skaalan reliabiliteettikertoimet kahdessa erillisess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tutkimuksessa vaihtelivat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0.80-0.90. Yleisskaalan reliabiliteetti oli </w:t>
      </w:r>
      <w:r>
        <w:rPr>
          <w:rStyle w:val="Inget"/>
          <w:rFonts w:ascii="Arial" w:hAnsi="Arial"/>
        </w:rPr>
        <w:t>matalin, mutta skaala on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lyhyin. Uudelleentestaus tehtiin kahden kuukauden kuluttua. Alfat vaihtelivat 0.66-0.76. Luokka-aste tai sukupuoli 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olleet yhteydess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vastauksiin.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validiteettin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 xml:space="preserve">öä </w:t>
      </w:r>
      <w:r>
        <w:rPr>
          <w:rStyle w:val="Inget"/>
          <w:rFonts w:ascii="Arial" w:hAnsi="Arial"/>
        </w:rPr>
        <w:t>on saatu useasta tutkimuksesta (Williams 1997).</w:t>
      </w:r>
      <w:r>
        <w:rPr>
          <w:rStyle w:val="Inget"/>
          <w:rFonts w:ascii="Arial" w:hAnsi="Arial"/>
        </w:rPr>
        <w:t xml:space="preserve"> Testiosiot on kehitetty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isen oppimismotivaation teorian pohjalta, ja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sitteen 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ritelm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eri osat ovat testiss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edustettuina. Faktorianalyysi osoitti viiden skaalan l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ytyv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tutkimusaineistoista. Sosiaalisen suotavuuden vaikutusta on tutkittu erilli</w:t>
      </w:r>
      <w:r>
        <w:rPr>
          <w:rStyle w:val="Inget"/>
          <w:rFonts w:ascii="Arial" w:hAnsi="Arial"/>
        </w:rPr>
        <w:t>sten kysymysten avulla, joiden vastauksia korreloitiin CAIMI:n viiteen skaalaan. Kaikki korrelaatiot olivat ei-merkitsevi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joten sosiaalisesti suotava vastaaminen ei todenn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isesti vaikuta kyselyss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(Williams 1997).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CAIMI-mittarin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ker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ttiin tie</w:t>
      </w:r>
      <w:r>
        <w:rPr>
          <w:rStyle w:val="Inget"/>
          <w:rFonts w:ascii="Arial" w:hAnsi="Arial"/>
        </w:rPr>
        <w:t>toa kahdella avoimella kysymyksell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yhdell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valintakysymyksell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oppilaiden kokemuksista hybriditilassa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skentelyst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ytetyt kysymykset olivat: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1. Mik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parasta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skentelemisess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?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2. Mik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 huonointa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skentelyss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?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3. Millaisessa luokassa sin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opiskelisit mieluiten?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lastRenderedPageBreak/>
        <w:t>Aineiston analysointi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CAIMI:n tuloksista muodostettiin viisi summamuuttujaa ja keskiarvomuuttujaa: yleinen oppimismotivaatio ja nelj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oppiainekohtaista muuttujaa, jotka olivat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</w:t>
      </w:r>
      <w:r>
        <w:rPr>
          <w:rStyle w:val="Inget"/>
          <w:rFonts w:ascii="Arial" w:hAnsi="Arial"/>
        </w:rPr>
        <w:t>pin, uskonnon ja fysiikka-kemian oppimismotivaatiot. Yleinen oppimismotivaatioasteikko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lsi 18 kysymyst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 oppiainekohtaiset asteikot 26 kysymyst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Puuttuvat tiedot korvattiin vastaajan kyseisen asteikon vastausten keskiarvolla.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Koska testi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ei ole no</w:t>
      </w:r>
      <w:r>
        <w:rPr>
          <w:rStyle w:val="Inget"/>
          <w:rFonts w:ascii="Arial" w:hAnsi="Arial"/>
        </w:rPr>
        <w:t>rmitettu suomalaisiin oppilasryhmiin, pelk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perusteella ei voitu tehd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telmi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motivaation tasosta.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vuoksi tuloksissa raportoidaan summapisteiden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asteikkokeskiarvot. Asteikon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 oli 1-5, jolloin arvo 3 kuvaa keskitaso</w:t>
      </w:r>
      <w:r>
        <w:rPr>
          <w:rStyle w:val="Inget"/>
          <w:rFonts w:ascii="Arial" w:hAnsi="Arial"/>
        </w:rPr>
        <w:t>ista oppimismotivaatiota. Muutoksen vertailu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 asteikoiden keskin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vertailu sen sijaan on mahdollista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pelkkien summapisteiden avulla. Asteikkokeskiarvo laskettiin kysymyksist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1-42, koska kysymysten 43 ja 44 vastausasteikko oli luokitteleva</w:t>
      </w:r>
      <w:r>
        <w:rPr>
          <w:rStyle w:val="Inget"/>
          <w:rFonts w:ascii="Arial" w:hAnsi="Arial"/>
        </w:rPr>
        <w:t xml:space="preserve"> ja skaalalla 1-2, kun muihin kysymyksiin vastattiin 5-portaisella Likert-asteikolla. Summapistem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sen sijaan ovat mukana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kysymykset 43 ja 44.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Aineiston jakautumista normaalisti analysoitiin Shapiro-Wilkin testin avulla. Vastaukset jakautuivat </w:t>
      </w:r>
      <w:r>
        <w:rPr>
          <w:rStyle w:val="Inget"/>
          <w:rFonts w:ascii="Arial" w:hAnsi="Arial"/>
        </w:rPr>
        <w:t>normaalisti ja analyyseihin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ytettiin parametrisia menetelmi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korrelaatiota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toistettujen mittausten varianssianalyysi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  <w:b/>
          <w:bCs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Tulokset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Oppimismotivaatio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mittauksessa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tilanteessa kouluvuoden alussa oppilaiden yleinen oppimismotivaatio oli </w:t>
      </w:r>
      <w:r>
        <w:rPr>
          <w:rStyle w:val="Inget"/>
          <w:rFonts w:ascii="Arial" w:hAnsi="Arial"/>
        </w:rPr>
        <w:t>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rin 61,8 pistett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(Kh = 9,00).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li oli 39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84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Asteikkokeskiarvo oli 3,44 (Kh = 0,50). Vaihteluv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li oli 2,18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4,67. Yleinen oppimismotivaatio (3,44) oli siten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mittauksen ajankohtana keskitasoa (3,0) korkeampi. Oppilaat oliv</w:t>
      </w:r>
      <w:r>
        <w:rPr>
          <w:rStyle w:val="Inget"/>
          <w:rFonts w:ascii="Arial" w:hAnsi="Arial"/>
        </w:rPr>
        <w:t>at keskitasoa motivoituneempia aloittamaan kouluvuoden.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Korkein motivaatio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tilanteessa oli oppia fysiikka-kemiaa (103,1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ka. 4,13) ja matalin motivaatio oli opiskella uskontoa (79,0 pistett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, ka. 3,16) (Taulukko 1). Fysiikka-kemiaa </w:t>
      </w:r>
      <w:r>
        <w:rPr>
          <w:rStyle w:val="Inget"/>
          <w:rFonts w:ascii="Arial" w:hAnsi="Arial"/>
        </w:rPr>
        <w:t>opiskelivat ainoastaan viides-kuudesluokkalaiset, sill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oppiaine alkaa vasta viidennen luokan opetussuunnitelmassa. Kaikissa oppiaineissa keskim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motivaatio oli keskitason yl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puolella kouluvuotta aloitettaessa.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>TAULUKKO 1.</w:t>
      </w:r>
      <w:r>
        <w:rPr>
          <w:rStyle w:val="Inget"/>
          <w:rFonts w:ascii="Arial" w:hAnsi="Arial"/>
        </w:rPr>
        <w:t xml:space="preserve"> Yleinen ja oppiainekohtai</w:t>
      </w:r>
      <w:r>
        <w:rPr>
          <w:rStyle w:val="Inget"/>
          <w:rFonts w:ascii="Arial" w:hAnsi="Arial"/>
        </w:rPr>
        <w:t>set oppimismotivaatiot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-, seuranta- ja loppumittauksessa. (kaikki vastaajat, n=40). Summa- ja asteikkopistem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 xml:space="preserve">rien keskiarvot ja </w:t>
      </w:r>
      <w:r>
        <w:rPr>
          <w:rStyle w:val="Inget"/>
          <w:rFonts w:ascii="Arial" w:hAnsi="Arial"/>
        </w:rPr>
        <w:t>–</w:t>
      </w:r>
      <w:r>
        <w:rPr>
          <w:rStyle w:val="Inget"/>
          <w:rFonts w:ascii="Arial" w:hAnsi="Arial"/>
        </w:rPr>
        <w:t>hajonnat.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tbl>
      <w:tblPr>
        <w:tblStyle w:val="TableNormal"/>
        <w:tblW w:w="9638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571"/>
        <w:gridCol w:w="1681"/>
        <w:gridCol w:w="1574"/>
        <w:gridCol w:w="1184"/>
        <w:gridCol w:w="1236"/>
        <w:gridCol w:w="1205"/>
      </w:tblGrid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Asteikko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Perusmittaus (summapiste-m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r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/kh)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Inget"/>
                <w:rFonts w:ascii="Arial" w:hAnsi="Arial"/>
                <w:sz w:val="20"/>
                <w:szCs w:val="20"/>
              </w:rPr>
              <w:t>Seurantamittaus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(summapiste-m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r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/kh)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Loppumittaus (summapiste-m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r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/kh)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Inget"/>
                <w:rFonts w:ascii="Arial" w:hAnsi="Arial"/>
                <w:sz w:val="20"/>
                <w:szCs w:val="20"/>
              </w:rPr>
              <w:t>Perusmit-taus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(keskiarvo/kh)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Inget"/>
                <w:rFonts w:ascii="Arial" w:hAnsi="Arial"/>
                <w:sz w:val="20"/>
                <w:szCs w:val="20"/>
              </w:rPr>
              <w:t>Seuranta-mittaus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(keskiarvo/kh)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Loppumit-taus (keskiarvo / kh)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idinkieli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89,0 (15,3)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85,7 (18,5)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83,2 (20,2)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3,57 (0,62)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3,44 (0,75)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3,32 (,82)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ymp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ä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rist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ö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-oppi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88,6 (18,1)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88,1 (20,1)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85,0 (21,8)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3,41 (0,70)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 xml:space="preserve">3,53 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(0,82)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3,39 (0,88)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uskonto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79,0 (20,5)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78,7 (21,7)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74,2 (22,0)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3,16 (0,83)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3,15 (0,88)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2,96 (0,89)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lastRenderedPageBreak/>
              <w:t>fysiikka/ kemia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103,1 (11,0)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100,8 (14,4)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95,6 (19,4)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4,13 (0,45)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4,05 (0,59)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3,83 (0,79)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yleinen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61,8 (9,0)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62,5 (8,9)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61,4 (10,8)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3,44 (0,50)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 xml:space="preserve">3,47 </w:t>
            </w:r>
            <w:r>
              <w:rPr>
                <w:rStyle w:val="Inget"/>
                <w:rFonts w:ascii="Arial" w:hAnsi="Arial"/>
                <w:sz w:val="20"/>
                <w:szCs w:val="20"/>
              </w:rPr>
              <w:t>(0,49)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  <w:sz w:val="20"/>
                <w:szCs w:val="20"/>
              </w:rPr>
              <w:t>3,41 (0,66)</w:t>
            </w:r>
          </w:p>
        </w:tc>
      </w:tr>
    </w:tbl>
    <w:p w:rsidR="007F4817" w:rsidRDefault="007F4817">
      <w:pPr>
        <w:pStyle w:val="Normaali"/>
        <w:ind w:left="108" w:hanging="108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Summapisteet yleinen oppimismotivaatio minimi 18, maksimi 90. Oppiainekohtainen pistem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minimi 28, maksimi 134.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Vastausasteikko 1 (v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inen motivaatio) </w:t>
      </w:r>
      <w:r>
        <w:rPr>
          <w:rStyle w:val="Inget"/>
          <w:rFonts w:ascii="Arial" w:hAnsi="Arial"/>
        </w:rPr>
        <w:t xml:space="preserve">– </w:t>
      </w:r>
      <w:r>
        <w:rPr>
          <w:rStyle w:val="Inget"/>
          <w:rFonts w:ascii="Arial" w:hAnsi="Arial"/>
        </w:rPr>
        <w:t>5 (korkea motivaatio).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 xml:space="preserve">Oppimismotivaation kehitys koko otoksessa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oppimismotivaatiossa ei tapahtunut muutosta oppilaita kokonaisuutena tarkastellen (Taulukko 1) (p=.351).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Eri oppiaineiden keskin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rjestys 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ilyi samana. Korkein motivaatio oli opiskella fysiikka-kemiaa, sitten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oppia ja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ja </w:t>
      </w:r>
      <w:r>
        <w:rPr>
          <w:rStyle w:val="Inget"/>
          <w:rFonts w:ascii="Arial" w:hAnsi="Arial"/>
        </w:rPr>
        <w:t>matalin motivaatio oli uskonnon opiskeluun. Asteikkokeskiarvojen tarkastelu osoittaa,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kaikkien aineiden opiskelumotivaatio ylitti keskitason 3,0 uskonnon loppumittauksen motivaatiota lukuun ottamatta.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Motivaatio oppia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laski koko otoksess</w:t>
      </w:r>
      <w:r>
        <w:rPr>
          <w:rStyle w:val="Inget"/>
          <w:rFonts w:ascii="Arial" w:hAnsi="Arial"/>
        </w:rPr>
        <w:t>a tasaisesti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mittauksesta loppumittaukseen (p&lt;.05). Samoin uskonnon oppimismotivaatio laski koko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(P&lt;.05). Motivaatio opiskella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oppia laski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hes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tasoisesti (p=.0601). Kaikkein selvimmin laski</w:t>
      </w:r>
      <w:r>
        <w:rPr>
          <w:rStyle w:val="Inget"/>
          <w:rFonts w:ascii="Arial" w:hAnsi="Arial"/>
        </w:rPr>
        <w:t xml:space="preserve"> motivaatio fysiikka-kemiaa kohtaan (p=.000).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on huomattava,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tason motivaatio, siis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s kiinnostus ja odotukset uutta, alkavaa oppiainetta kohtaan, oli hyvin korkea.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Motivaation kehitys vertailu- ja tutkimusryhmiss</w:t>
      </w:r>
      <w:r>
        <w:rPr>
          <w:rStyle w:val="Inget"/>
          <w:rFonts w:ascii="Arial" w:hAnsi="Arial"/>
          <w:b/>
          <w:bCs/>
        </w:rPr>
        <w:t>ä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Yleisen motivaation</w:t>
      </w:r>
      <w:r>
        <w:rPr>
          <w:rStyle w:val="Inget"/>
          <w:rFonts w:ascii="Arial" w:hAnsi="Arial"/>
        </w:rPr>
        <w:t xml:space="preserve"> kehitys oli vertailu- ja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erilaista (p&lt;.05). Hybriditilassa opiskelleiden yleinen motivaatio kohosi 2. mittauksessa, mutta kohonnut motivaatio palasi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mittaukseen menness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tasolle. Selityksen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voi olla esimerkiksi uuden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tilan</w:t>
      </w:r>
      <w:r>
        <w:rPr>
          <w:rStyle w:val="Inget"/>
          <w:rFonts w:ascii="Arial" w:hAnsi="Arial"/>
        </w:rPr>
        <w:t xml:space="preserve"> uutuuden vieh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tys tai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aikana tapahtunut mahdollinen palaaminen totuttuihin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tapoihin.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kehitys oli 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invastainen, u-k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: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tasolta motivaatio laski 2. mittauksessa, mutta motivaatio kohosi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seen menness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tasolle.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Oppiaineittain tarkasteltuna motivaatio kehittyi vertailu- ja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samansuuntaisesti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opissa ja uskonnossa.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eronneet toisistaan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idinkieli: p=.862,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oppi: p=.414, uskon</w:t>
      </w:r>
      <w:r>
        <w:rPr>
          <w:rStyle w:val="Inget"/>
          <w:rFonts w:ascii="Arial" w:hAnsi="Arial"/>
        </w:rPr>
        <w:t xml:space="preserve">to: </w:t>
      </w:r>
      <w:r>
        <w:rPr>
          <w:rStyle w:val="Inget"/>
          <w:rFonts w:ascii="Arial" w:hAnsi="Arial"/>
        </w:rPr>
        <w:t xml:space="preserve">p=.129)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 xml:space="preserve">Motivaation kehityssuunta oli laskeva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fysiikka-kemiassa, jonka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 tosin oli korkea,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uskonnossa, jonka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 oli matala.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opiskelumotivaatio kohosi hieman kakkosmittauksessa, mutta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s sen </w:t>
      </w:r>
      <w:r>
        <w:rPr>
          <w:rStyle w:val="Inget"/>
          <w:rFonts w:ascii="Arial" w:hAnsi="Arial"/>
        </w:rPr>
        <w:t>motivaatiotaso laski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mittaukseen menness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Vain fysiikka-kemian opiskelussa vertailu- ja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erosivat (p&lt;.05).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 laski voimakkaasti ja lineaarisesti.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lastRenderedPageBreak/>
        <w:t>motivaatio oli kohonnut 2. mittauksessa, mut</w:t>
      </w:r>
      <w:r>
        <w:rPr>
          <w:rStyle w:val="Inget"/>
          <w:rFonts w:ascii="Arial" w:hAnsi="Arial"/>
        </w:rPr>
        <w:t>ta laski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seen menness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>TAULUKKO 2:</w:t>
      </w:r>
      <w:r>
        <w:rPr>
          <w:rStyle w:val="Inget"/>
          <w:rFonts w:ascii="Arial" w:hAnsi="Arial"/>
        </w:rPr>
        <w:t xml:space="preserve">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motivaatiotaso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-, seuranta- ja loppumittauksessa. Keskiarvot, sulkeissa keskihajonnat.</w:t>
      </w:r>
    </w:p>
    <w:tbl>
      <w:tblPr>
        <w:tblStyle w:val="TableNormal"/>
        <w:tblW w:w="98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095"/>
        <w:gridCol w:w="2221"/>
        <w:gridCol w:w="3344"/>
      </w:tblGrid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7F481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 xml:space="preserve"> L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ht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mittaus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Seuranta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Loppumittaus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idinkieli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3,61 (0,68)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3,53 (0,80)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3,41 (0,88)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Ymp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rist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oppi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3,74</w:t>
            </w:r>
            <w:r>
              <w:rPr>
                <w:rStyle w:val="Inget"/>
                <w:rFonts w:ascii="Arial" w:hAnsi="Arial"/>
              </w:rPr>
              <w:t xml:space="preserve"> (0,72)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3,61 (0,84)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3,50 (0,93)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Uskonto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3,31 (0,84)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3,39 (0,90)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3,20 (0,98)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Fysiikka-kemia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4,19 (0,44)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3,96 (0,66)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3,81 (0,90)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Yleinen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3,56 (0,46)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3,50 (0,54)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3,52 (0,70)</w:t>
            </w:r>
          </w:p>
        </w:tc>
      </w:tr>
    </w:tbl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>TAULUKKO 3:</w:t>
      </w:r>
      <w:r>
        <w:rPr>
          <w:rStyle w:val="Inget"/>
          <w:rFonts w:ascii="Arial" w:hAnsi="Arial"/>
        </w:rPr>
        <w:t xml:space="preserve">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motivaatiotaso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-, seuranta- ja </w:t>
      </w:r>
      <w:r>
        <w:rPr>
          <w:rStyle w:val="Inget"/>
          <w:rFonts w:ascii="Arial" w:hAnsi="Arial"/>
        </w:rPr>
        <w:t>loppumittauksessa. Keskiarvot, sulkeissa keskihajonnat.</w:t>
      </w:r>
    </w:p>
    <w:tbl>
      <w:tblPr>
        <w:tblStyle w:val="TableNormal"/>
        <w:tblW w:w="98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095"/>
        <w:gridCol w:w="2221"/>
        <w:gridCol w:w="3369"/>
      </w:tblGrid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7F481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L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ht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mittaus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Seurantamittaus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Loppumittaus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idinkieli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3,53 (0,56)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3,38 (0,71)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3,24 (0,76)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Ymp</w:t>
            </w:r>
            <w:r>
              <w:rPr>
                <w:rStyle w:val="Inget"/>
                <w:rFonts w:ascii="Arial" w:hAnsi="Arial"/>
              </w:rPr>
              <w:t>ä</w:t>
            </w:r>
            <w:r>
              <w:rPr>
                <w:rStyle w:val="Inget"/>
                <w:rFonts w:ascii="Arial" w:hAnsi="Arial"/>
              </w:rPr>
              <w:t>rist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oppi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3,42 (0,67)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3,51 (0,80)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3,30 (0,86)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Uskonto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3,04 (0,81)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2,94 (0,83)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2,74 (0,75)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Fysiikka-kemia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4,01 (0,47)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4,14 (0,51)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3,85 (0,69)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Yleinen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3,33 (0,51)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3,47 (0,44)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3,31 (0,48)</w:t>
            </w:r>
          </w:p>
        </w:tc>
      </w:tr>
    </w:tbl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Hybridiluokka liikutti motivaatiota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Tutkimuksen otos (N=40) on kooltaan vaatimaton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mahdollisia pieni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muutossuuntia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havaita </w:t>
      </w:r>
      <w:r>
        <w:rPr>
          <w:rStyle w:val="Inget"/>
          <w:rFonts w:ascii="Arial" w:hAnsi="Arial"/>
        </w:rPr>
        <w:t>tilastollisissa analyyseiss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Aineistoa tutkittiinkin monenlaisin analyysein. Varianssianalyysin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korrelaatiotarkastelussa havaittiin,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 on eroa ryhmien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>TAULUKKO 4:</w:t>
      </w:r>
      <w:r>
        <w:rPr>
          <w:rStyle w:val="Inget"/>
          <w:rFonts w:ascii="Arial" w:hAnsi="Arial"/>
        </w:rPr>
        <w:t xml:space="preserve"> Tutkimus- ja vertailuryhmien oppilaiden</w:t>
      </w:r>
      <w:r>
        <w:rPr>
          <w:rStyle w:val="Inget"/>
          <w:rFonts w:ascii="Arial" w:hAnsi="Arial"/>
        </w:rPr>
        <w:t xml:space="preserve"> yleisen oppimismotivaation korrelaatiot kolmessa mittauksessa. </w:t>
      </w:r>
    </w:p>
    <w:tbl>
      <w:tblPr>
        <w:tblStyle w:val="TableNormal"/>
        <w:tblW w:w="98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85"/>
      </w:tblGrid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Korrelaatio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elokuu -&gt;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tammikuu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tammikuu-&gt;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toukokuu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elokuu -&gt;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toukokuu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Vertailuryhm</w:t>
            </w:r>
            <w:r>
              <w:rPr>
                <w:rStyle w:val="Inget"/>
                <w:rFonts w:ascii="Arial" w:hAnsi="Arial"/>
              </w:rPr>
              <w:t>ä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 xml:space="preserve">0,91 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0,85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0,61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p&lt;.001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Tutkimusryhm</w:t>
            </w:r>
            <w:r>
              <w:rPr>
                <w:rStyle w:val="Inget"/>
                <w:rFonts w:ascii="Arial" w:hAnsi="Arial"/>
              </w:rPr>
              <w:t>ä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0,68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0,81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  <w:rPr>
                <w:rStyle w:val="Inget"/>
                <w:rFonts w:ascii="Arial" w:eastAsia="Arial" w:hAnsi="Arial" w:cs="Arial"/>
              </w:rPr>
            </w:pPr>
            <w:r>
              <w:rPr>
                <w:rStyle w:val="Inget"/>
                <w:rFonts w:ascii="Arial" w:hAnsi="Arial"/>
              </w:rPr>
              <w:t>0,50</w:t>
            </w:r>
          </w:p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p&lt;.05</w:t>
            </w:r>
          </w:p>
        </w:tc>
      </w:tr>
    </w:tbl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oppilaan yleinen motivaatio 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ilyi koko kouluvuoden aikana hyvin samantasoisena (r=0,69, p&lt;.001). Toisin sanoen heikommin koulun alussa motivoitunut oppilas oli sit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kouluvuoden 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ttyess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. Vastaavasti alun alkaenkin korkeammin motivoitunut oppilas </w:t>
      </w:r>
      <w:r>
        <w:rPr>
          <w:rStyle w:val="Inget"/>
          <w:rFonts w:ascii="Arial" w:hAnsi="Arial"/>
        </w:rPr>
        <w:t>oli motivoitunut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koulun 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ttyess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sen sijaan tapahtui enemm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muutoksia motivaatiossa. Korrelaatio oli 0,50 ja tuloksen tilastollinen merkitsevyys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pienempi kuin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n tuloksessa.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aineisto ei mahdollistanut </w:t>
      </w:r>
      <w:r>
        <w:rPr>
          <w:rStyle w:val="Inget"/>
          <w:rFonts w:ascii="Arial" w:hAnsi="Arial"/>
        </w:rPr>
        <w:t>syvemp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tarkastelua, keiden tai mink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tyyppisten oppilaiden motivaatio muuttui ja mihin suuntaan. Kuitenkin tulos kiinnitt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huomion muutokseen, jota motivaatiossa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tapahtuneen hybridiluokassa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skennelt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Joitakin viitteit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havaittiin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</w:t>
      </w:r>
      <w:r>
        <w:rPr>
          <w:rStyle w:val="Inget"/>
          <w:rFonts w:ascii="Arial" w:hAnsi="Arial"/>
        </w:rPr>
        <w:t xml:space="preserve"> ja poikien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motivaatiossa. </w:t>
      </w: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Tytt</w:t>
      </w:r>
      <w:r>
        <w:rPr>
          <w:rStyle w:val="Inget"/>
          <w:rFonts w:ascii="Arial" w:hAnsi="Arial"/>
          <w:b/>
          <w:bCs/>
        </w:rPr>
        <w:t>ö</w:t>
      </w:r>
      <w:r>
        <w:rPr>
          <w:rStyle w:val="Inget"/>
          <w:rFonts w:ascii="Arial" w:hAnsi="Arial"/>
          <w:b/>
          <w:bCs/>
        </w:rPr>
        <w:t>jen ja poikien motivaation kehitys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Yleisen oppimismotivaation keskiarvoja tarkasteltaessa havaitaan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vertailu-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samansuuntainen kehitys: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jen motivaatio laskee, poikien kohoaa (p&lt;.01) </w:t>
      </w:r>
      <w:r>
        <w:rPr>
          <w:rStyle w:val="Inget"/>
          <w:rFonts w:ascii="Arial" w:hAnsi="Arial"/>
        </w:rPr>
        <w:t>(TAULUKKO 5).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  <w:b/>
          <w:bCs/>
        </w:rPr>
        <w:t>TAULUKKO 5:</w:t>
      </w:r>
      <w:r>
        <w:rPr>
          <w:rStyle w:val="Inget"/>
          <w:rFonts w:ascii="Arial" w:hAnsi="Arial"/>
        </w:rPr>
        <w:t xml:space="preserve">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ja poikien yleinen oppimismotivaatio vertailu- ja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</w:p>
    <w:tbl>
      <w:tblPr>
        <w:tblStyle w:val="TableNormal"/>
        <w:tblW w:w="9642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4"/>
      </w:tblGrid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Vertailuryhm</w:t>
            </w:r>
            <w:r>
              <w:rPr>
                <w:rStyle w:val="Inget"/>
                <w:rFonts w:ascii="Arial" w:hAnsi="Arial"/>
              </w:rPr>
              <w:t xml:space="preserve">ä </w:t>
            </w:r>
            <w:r>
              <w:rPr>
                <w:rStyle w:val="Inget"/>
                <w:rFonts w:ascii="Arial" w:hAnsi="Arial"/>
              </w:rPr>
              <w:t>tyt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3,71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3,53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3,39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Vertailuryhm</w:t>
            </w:r>
            <w:r>
              <w:rPr>
                <w:rStyle w:val="Inget"/>
                <w:rFonts w:ascii="Arial" w:hAnsi="Arial"/>
              </w:rPr>
              <w:t xml:space="preserve">ä </w:t>
            </w:r>
            <w:r>
              <w:rPr>
                <w:rStyle w:val="Inget"/>
                <w:rFonts w:ascii="Arial" w:hAnsi="Arial"/>
              </w:rPr>
              <w:t>pojat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3,39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3,46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3,65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Tutkimusryhm</w:t>
            </w:r>
            <w:r>
              <w:rPr>
                <w:rStyle w:val="Inget"/>
                <w:rFonts w:ascii="Arial" w:hAnsi="Arial"/>
              </w:rPr>
              <w:t xml:space="preserve">ä </w:t>
            </w:r>
            <w:r>
              <w:rPr>
                <w:rStyle w:val="Inget"/>
                <w:rFonts w:ascii="Arial" w:hAnsi="Arial"/>
              </w:rPr>
              <w:t>tyt</w:t>
            </w:r>
            <w:r>
              <w:rPr>
                <w:rStyle w:val="Inget"/>
                <w:rFonts w:ascii="Arial" w:hAnsi="Arial"/>
              </w:rPr>
              <w:t>ö</w:t>
            </w:r>
            <w:r>
              <w:rPr>
                <w:rStyle w:val="Inget"/>
                <w:rFonts w:ascii="Arial" w:hAnsi="Arial"/>
              </w:rPr>
              <w:t>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3,43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3,28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3,14</w:t>
            </w:r>
          </w:p>
        </w:tc>
      </w:tr>
      <w:tr w:rsidR="007F4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Tutkimusryhm</w:t>
            </w:r>
            <w:r>
              <w:rPr>
                <w:rStyle w:val="Inget"/>
                <w:rFonts w:ascii="Arial" w:hAnsi="Arial"/>
              </w:rPr>
              <w:t xml:space="preserve">ä </w:t>
            </w:r>
            <w:r>
              <w:rPr>
                <w:rStyle w:val="Inget"/>
                <w:rFonts w:ascii="Arial" w:hAnsi="Arial"/>
              </w:rPr>
              <w:t>pojat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3,31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3,55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817" w:rsidRDefault="006B3814">
            <w:pPr>
              <w:pStyle w:val="Normaali"/>
            </w:pPr>
            <w:r>
              <w:rPr>
                <w:rStyle w:val="Inget"/>
                <w:rFonts w:ascii="Arial" w:hAnsi="Arial"/>
              </w:rPr>
              <w:t>3,40</w:t>
            </w:r>
          </w:p>
        </w:tc>
      </w:tr>
    </w:tbl>
    <w:p w:rsidR="007F4817" w:rsidRDefault="007F4817">
      <w:pPr>
        <w:pStyle w:val="Normaali"/>
        <w:ind w:left="55" w:hanging="55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Yleinen motivaatio kehittyi siis samansuuntaisesti riippumatta oliko oppilas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vai hybridiluokassa. Hybridiluokan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yleinen motivaatio laski siin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kuin perinteisen luokan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jenkin, ja poikien </w:t>
      </w:r>
      <w:r>
        <w:rPr>
          <w:rStyle w:val="Inget"/>
          <w:rFonts w:ascii="Arial" w:hAnsi="Arial"/>
        </w:rPr>
        <w:t>nousi. Tutkimusryhm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sis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motivaation kehitys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ja poikien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kuitenkin erosi toisistaan tilastollisesti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(p&lt;.01). Tyt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 ja pojat vaihtoivat paikkaa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oppimismotivaatiossa: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motivaatio oli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korkeampi, mu</w:t>
      </w:r>
      <w:r>
        <w:rPr>
          <w:rStyle w:val="Inget"/>
          <w:rFonts w:ascii="Arial" w:hAnsi="Arial"/>
        </w:rPr>
        <w:t>tta laski vahvasti, poikien motivaatio oli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alhaisempi, mutta kohosi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ja pysyi kev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seen saakka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korkeammalla.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vertailuryhm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tapahtui keskiarvojen perusteella samankaltaista muutosta, mutta tulos ei ollut tilastollis</w:t>
      </w:r>
      <w:r>
        <w:rPr>
          <w:rStyle w:val="Inget"/>
          <w:rFonts w:ascii="Arial" w:hAnsi="Arial"/>
        </w:rPr>
        <w:t>esti merkitsev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jen ja poikien motivaation kehittymisess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ei ollut eroa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opissa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uskonnossa. Sen sijaan fysiikka-kemiassa eroa l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ytyi (p&lt;.05). Tytt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 xml:space="preserve">jen motivaatio laski voimakkaasti kouluvuoden aikana, kun taas poikien </w:t>
      </w:r>
      <w:r>
        <w:rPr>
          <w:rStyle w:val="Inget"/>
          <w:rFonts w:ascii="Arial" w:hAnsi="Arial"/>
        </w:rPr>
        <w:t>motivaatio ensin kohosi, mutta palasi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helle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tasoa.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Kiinnostavia kysymyksi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jatkotutkimuksissa onkin tunnistaa, keiden oppilaiden motivaatio muuttuu mihinkin suuntaan 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 xml:space="preserve">öä </w:t>
      </w:r>
      <w:r>
        <w:rPr>
          <w:rStyle w:val="Inget"/>
          <w:rFonts w:ascii="Arial" w:hAnsi="Arial"/>
        </w:rPr>
        <w:t xml:space="preserve">muutettaessa. Muun muassa heikosti ja vahvasti motivoituneiden </w:t>
      </w:r>
      <w:r>
        <w:rPr>
          <w:rStyle w:val="Inget"/>
          <w:rFonts w:ascii="Arial" w:hAnsi="Arial"/>
        </w:rPr>
        <w:t>ja menestyvien tai eri oppimistyylej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suosivien oppilaiden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eroja on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rke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arvioida. Oppilaat oppivat tehokkaimmin erilaisissa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joten erojen tunnistaminen on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rke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tutkimuskohde jatkossa.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tutkimuksessa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viss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olivat aino</w:t>
      </w:r>
      <w:r>
        <w:rPr>
          <w:rStyle w:val="Inget"/>
          <w:rFonts w:ascii="Arial" w:hAnsi="Arial"/>
        </w:rPr>
        <w:t>astaan sukupuoli ja vuosiluokka taustatekij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in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b/>
          <w:bCs/>
        </w:rPr>
      </w:pPr>
      <w:r>
        <w:rPr>
          <w:rStyle w:val="Inget"/>
          <w:rFonts w:ascii="Arial" w:hAnsi="Arial"/>
          <w:b/>
          <w:bCs/>
        </w:rPr>
        <w:t>Luokka-asteen yhteys motivaatioon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Lopuksi analysoitiin erikseen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s-, viides- ja kuudesluokkalaisten motivaation muutoksia yleisesti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opetustilan mukaan ryhmiss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Luokka-asteittain ei yleisess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</w:t>
      </w:r>
      <w:r>
        <w:rPr>
          <w:rStyle w:val="Inget"/>
          <w:rFonts w:ascii="Arial" w:hAnsi="Arial"/>
        </w:rPr>
        <w:t>imismotivaatiossa ollut eroa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s-, viides- ja kuudesluokkalaisten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(p=.286).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eri oppiaineissa ei motivaation kehittymisess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ollut tilastollisesti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eroja luokka-asteiden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. Nelosluokkalaisten joukossa ei havaittu </w:t>
      </w:r>
      <w:r>
        <w:rPr>
          <w:rStyle w:val="Inget"/>
          <w:rFonts w:ascii="Arial" w:hAnsi="Arial"/>
        </w:rPr>
        <w:t>tilastollisesti merkitsevi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muutoksia mittausajankohtien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miss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motivaatioasteikossa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motivaatioeroja ollut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ytetyn opetustilan mukaan.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aineistossa eri luokka-asteiden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pieniksi tilastollisia analyyseja ajatellen. Kuitenki</w:t>
      </w:r>
      <w:r>
        <w:rPr>
          <w:rStyle w:val="Inget"/>
          <w:rFonts w:ascii="Arial" w:hAnsi="Arial"/>
        </w:rPr>
        <w:t>n havaittiin,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eri luokka-asteilla opiskelevien oppimismotivaatiossa ei ollut eroa 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idinkielen ja uskonnon kohdalla. Sen sijaan fysiikka-kemian ja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oppimismotivaatiossa oli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ero. Kaikkiaan viides- ja kuudesluokkal</w:t>
      </w:r>
      <w:r>
        <w:rPr>
          <w:rStyle w:val="Inget"/>
          <w:rFonts w:ascii="Arial" w:hAnsi="Arial"/>
        </w:rPr>
        <w:t>aisten oppilaiden fysiikka-kemian oppimismotivaatiota voidaan pit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korkeana. Kuitenkin kuudesluokkalaiset olivat erityisen motivoituneita sen opiskeluun (p&lt;.05). Kuudesluokkalaiset olivat samoin kaikkein motivoituneimpia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opin opiskelijoita (p&lt;.05</w:t>
      </w:r>
      <w:r>
        <w:rPr>
          <w:rStyle w:val="Inget"/>
          <w:rFonts w:ascii="Arial" w:hAnsi="Arial"/>
        </w:rPr>
        <w:t xml:space="preserve">). Samoin kuudesluokkalaisten yleinen oppimismotivaatio oli korkein (p&lt;.05).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Tulos on kiinnostava ja her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uuden tutkimuskysymyksen oppimismotivaation kehittymisest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kautta kouluvuosien. On esitetty,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motivaatio laskisi kouluvuosien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mutta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oppilasjoukossa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 ei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ynyt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eik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hybridiluokassa opiskeltaessa.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On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huomattava,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liraportissa todettiin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fysiikka-kemian oppimismotivaatio kehittyi eri tavoin riippuen siit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, opiskeliko oppilas hybriditilassa </w:t>
      </w:r>
      <w:r>
        <w:rPr>
          <w:rStyle w:val="Inget"/>
          <w:rFonts w:ascii="Arial" w:hAnsi="Arial"/>
        </w:rPr>
        <w:t>vai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(p&lt;.05).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syksyll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fysiikka-kemian motivaatio oli 4,20 ja talvella se oli laskenut tasolle 3,96. Hybriditilassa opiskelevan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n syksyn aloitusmotivaatio fysiikka-kemiassa oli 4,06 ja se oli noussut </w:t>
      </w:r>
      <w:r>
        <w:rPr>
          <w:rStyle w:val="Inget"/>
          <w:rFonts w:ascii="Arial" w:hAnsi="Arial"/>
        </w:rPr>
        <w:t>syyskauden kuluessa entisest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n tasoon 4,14. Ero oli tilastollisesti merkitsev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p&lt;.05. Edett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lukuvuoden loppuun ero ei kuitenkaan en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ollut merkitsev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tasoa.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Tulosta pohdittaessa on huomattava,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opettivat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eri opettajat. Hybriditila</w:t>
      </w:r>
      <w:r>
        <w:rPr>
          <w:rStyle w:val="Inget"/>
          <w:rFonts w:ascii="Arial" w:hAnsi="Arial"/>
        </w:rPr>
        <w:t>n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nteisen yhteyden vahvistaminen fysiikka-kemian opiskeluun vaatii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tutkimusta, jossa joko sama opettaja opettaa eri tiloissa ryhmi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tai tutkittavia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-opettaja -pareja on useita, jotta opettajan vaikutus voidaan kontrolloida.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tulokseen on</w:t>
      </w:r>
      <w:r>
        <w:rPr>
          <w:rStyle w:val="Inget"/>
          <w:rFonts w:ascii="Arial" w:hAnsi="Arial"/>
        </w:rPr>
        <w:t xml:space="preserve"> voinut vaikuttaa esimerkiksi opiskeltavan aiheen vaihtelu 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opissa syys- ja kev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tlukukaudella ja samalla mahdollisuudet 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 xml:space="preserve">hybriditilan joustavuutta opiskelussa on saattanut vaihdella.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Avokysymyksiin oppilaat saivat kirjoittaa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ja </w:t>
      </w:r>
      <w:r>
        <w:rPr>
          <w:rStyle w:val="Inget"/>
          <w:rFonts w:ascii="Arial" w:hAnsi="Arial"/>
        </w:rPr>
        <w:t>kielteisi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huomioita luokasta, jossa he olivat kuluneen vuoden ty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skennelleet. Hybridiluokassa opiskelleet kehuivat p</w:t>
      </w:r>
      <w:r>
        <w:rPr>
          <w:rStyle w:val="Inget"/>
          <w:rFonts w:ascii="Arial" w:hAnsi="Arial"/>
        </w:rPr>
        <w:t>ää</w:t>
      </w:r>
      <w:r>
        <w:rPr>
          <w:rStyle w:val="Inget"/>
          <w:rFonts w:ascii="Arial" w:hAnsi="Arial"/>
        </w:rPr>
        <w:t>osin kahta asiaa: mahdollisuutta istua lattialla, ja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 liittyen luokassa ollutta mattoa,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tilan rauhallisuutta.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valoisuus no</w:t>
      </w:r>
      <w:r>
        <w:rPr>
          <w:rStyle w:val="Inget"/>
          <w:rFonts w:ascii="Arial" w:hAnsi="Arial"/>
        </w:rPr>
        <w:t>usi monessa vastauksessa esiin. Lattian mainitsi useampi kuin kolmannes oppilaista ja rauhallisuuden nelj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nnes.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luokkahuoneen suuri koko, kauneus ja hyv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valaistus mainittiin useamman kerran.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t>”</w:t>
      </w:r>
      <w:r>
        <w:rPr>
          <w:rStyle w:val="Inget"/>
          <w:rFonts w:ascii="Arial" w:hAnsi="Arial"/>
          <w:lang w:val="sv-SE"/>
        </w:rPr>
        <w:t>Man f</w:t>
      </w:r>
      <w:r>
        <w:rPr>
          <w:rStyle w:val="Inget"/>
          <w:rFonts w:ascii="Arial" w:hAnsi="Arial"/>
          <w:lang w:val="sv-SE"/>
        </w:rPr>
        <w:t>å</w:t>
      </w:r>
      <w:r>
        <w:rPr>
          <w:rStyle w:val="Inget"/>
          <w:rFonts w:ascii="Arial" w:hAnsi="Arial"/>
          <w:lang w:val="sv-SE"/>
        </w:rPr>
        <w:t>r vara p</w:t>
      </w:r>
      <w:r>
        <w:rPr>
          <w:rStyle w:val="Inget"/>
          <w:rFonts w:ascii="Arial" w:hAnsi="Arial"/>
          <w:lang w:val="sv-SE"/>
        </w:rPr>
        <w:t xml:space="preserve">å </w:t>
      </w:r>
      <w:r>
        <w:rPr>
          <w:rStyle w:val="Inget"/>
          <w:rFonts w:ascii="Arial" w:hAnsi="Arial"/>
          <w:lang w:val="sv-SE"/>
        </w:rPr>
        <w:t xml:space="preserve">golvet och bordet och mattan. Stort </w:t>
      </w:r>
      <w:r>
        <w:rPr>
          <w:rStyle w:val="Inget"/>
          <w:rFonts w:ascii="Arial" w:hAnsi="Arial"/>
          <w:lang w:val="sv-SE"/>
        </w:rPr>
        <w:t>rum.</w:t>
      </w:r>
      <w:r>
        <w:rPr>
          <w:rStyle w:val="Inget"/>
          <w:rFonts w:ascii="Arial" w:hAnsi="Arial"/>
          <w:lang w:val="sv-SE"/>
        </w:rPr>
        <w:t xml:space="preserve">”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lastRenderedPageBreak/>
        <w:t>”</w:t>
      </w:r>
      <w:r>
        <w:rPr>
          <w:rStyle w:val="Inget"/>
          <w:rFonts w:ascii="Arial" w:hAnsi="Arial"/>
          <w:lang w:val="sv-SE"/>
        </w:rPr>
        <w:t>D</w:t>
      </w:r>
      <w:r>
        <w:rPr>
          <w:rStyle w:val="Inget"/>
          <w:rFonts w:ascii="Arial" w:hAnsi="Arial"/>
          <w:lang w:val="sv-SE"/>
        </w:rPr>
        <w:t>ä</w:t>
      </w:r>
      <w:r>
        <w:rPr>
          <w:rStyle w:val="Inget"/>
          <w:rFonts w:ascii="Arial" w:hAnsi="Arial"/>
          <w:lang w:val="sv-SE"/>
        </w:rPr>
        <w:t>r f</w:t>
      </w:r>
      <w:r>
        <w:rPr>
          <w:rStyle w:val="Inget"/>
          <w:rFonts w:ascii="Arial" w:hAnsi="Arial"/>
          <w:lang w:val="sv-SE"/>
        </w:rPr>
        <w:t>å</w:t>
      </w:r>
      <w:r>
        <w:rPr>
          <w:rStyle w:val="Inget"/>
          <w:rFonts w:ascii="Arial" w:hAnsi="Arial"/>
          <w:lang w:val="sv-SE"/>
        </w:rPr>
        <w:t>r man ligga p</w:t>
      </w:r>
      <w:r>
        <w:rPr>
          <w:rStyle w:val="Inget"/>
          <w:rFonts w:ascii="Arial" w:hAnsi="Arial"/>
          <w:lang w:val="sv-SE"/>
        </w:rPr>
        <w:t xml:space="preserve">å </w:t>
      </w:r>
      <w:r>
        <w:rPr>
          <w:rStyle w:val="Inget"/>
          <w:rFonts w:ascii="Arial" w:hAnsi="Arial"/>
          <w:lang w:val="sv-SE"/>
        </w:rPr>
        <w:t>golvet och jobba.</w:t>
      </w:r>
      <w:r>
        <w:rPr>
          <w:rStyle w:val="Inget"/>
          <w:rFonts w:ascii="Arial" w:hAnsi="Arial"/>
          <w:lang w:val="sv-SE"/>
        </w:rPr>
        <w:t>”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t>”</w:t>
      </w:r>
      <w:r>
        <w:rPr>
          <w:rStyle w:val="Inget"/>
          <w:rFonts w:ascii="Arial" w:hAnsi="Arial"/>
          <w:lang w:val="sv-SE"/>
        </w:rPr>
        <w:t>Lugnt, tyst, sk</w:t>
      </w:r>
      <w:r>
        <w:rPr>
          <w:rStyle w:val="Inget"/>
          <w:rFonts w:ascii="Arial" w:hAnsi="Arial"/>
          <w:lang w:val="sv-SE"/>
        </w:rPr>
        <w:t>ö</w:t>
      </w:r>
      <w:r>
        <w:rPr>
          <w:rStyle w:val="Inget"/>
          <w:rFonts w:ascii="Arial" w:hAnsi="Arial"/>
          <w:lang w:val="sv-SE"/>
        </w:rPr>
        <w:t>nt.</w:t>
      </w:r>
      <w:r>
        <w:rPr>
          <w:rStyle w:val="Inget"/>
          <w:rFonts w:ascii="Arial" w:hAnsi="Arial"/>
          <w:lang w:val="sv-SE"/>
        </w:rPr>
        <w:t>”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t>”</w:t>
      </w:r>
      <w:r>
        <w:rPr>
          <w:rStyle w:val="Inget"/>
          <w:rFonts w:ascii="Arial" w:hAnsi="Arial"/>
          <w:lang w:val="sv-SE"/>
        </w:rPr>
        <w:t>Att man inte beh</w:t>
      </w:r>
      <w:r>
        <w:rPr>
          <w:rStyle w:val="Inget"/>
          <w:rFonts w:ascii="Arial" w:hAnsi="Arial"/>
          <w:lang w:val="sv-SE"/>
        </w:rPr>
        <w:t>ö</w:t>
      </w:r>
      <w:r>
        <w:rPr>
          <w:rStyle w:val="Inget"/>
          <w:rFonts w:ascii="Arial" w:hAnsi="Arial"/>
          <w:lang w:val="sv-SE"/>
        </w:rPr>
        <w:t>ver hela tiden sitta p</w:t>
      </w:r>
      <w:r>
        <w:rPr>
          <w:rStyle w:val="Inget"/>
          <w:rFonts w:ascii="Arial" w:hAnsi="Arial"/>
          <w:lang w:val="sv-SE"/>
        </w:rPr>
        <w:t xml:space="preserve">å </w:t>
      </w:r>
      <w:r>
        <w:rPr>
          <w:rStyle w:val="Inget"/>
          <w:rFonts w:ascii="Arial" w:hAnsi="Arial"/>
          <w:lang w:val="sv-SE"/>
        </w:rPr>
        <w:t>sin egen plats.</w:t>
      </w:r>
      <w:r>
        <w:rPr>
          <w:rStyle w:val="Inget"/>
          <w:rFonts w:ascii="Arial" w:hAnsi="Arial"/>
          <w:lang w:val="sv-SE"/>
        </w:rPr>
        <w:t xml:space="preserve">”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Perinteisess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kin luokassa opiskelleet lapset nostivat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nteisen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puolena omassa luokassaan esiin rauhallisuuden. Yli kolm</w:t>
      </w:r>
      <w:r>
        <w:rPr>
          <w:rStyle w:val="Inget"/>
          <w:rFonts w:ascii="Arial" w:hAnsi="Arial"/>
        </w:rPr>
        <w:t>annes oppilaista korosti rauhallisuutta ja hiljaisuutta. Erityisi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mainintoja hyv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puolena saivat 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korkeat pulpetit ja luokan 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mp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isyys.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Hybridiluokassa opiskelusta ei mainittu huonoja puolia, jotka olisivat selv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 xml:space="preserve">sti liittyneet toteutettuun </w:t>
      </w:r>
      <w:r>
        <w:rPr>
          <w:rStyle w:val="Inget"/>
          <w:rFonts w:ascii="Arial" w:hAnsi="Arial"/>
        </w:rPr>
        <w:t>oppimisymp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rist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ratkaisuun. Useat oppilaat valittivat tilan olleen kylm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talvella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valaistuksessa olleen ongelmia, joko liian kirkasta, h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tai aurinko oli osunut silmiin. Luokassa oli lasikatto, mik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selitt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nee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havainnot. Lasikatto ei </w:t>
      </w:r>
      <w:r>
        <w:rPr>
          <w:rStyle w:val="Inget"/>
          <w:rFonts w:ascii="Arial" w:hAnsi="Arial"/>
        </w:rPr>
        <w:t>kuitenkaan liity 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ytettyyn hybriditilan perusmalliin.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t>”</w:t>
      </w:r>
      <w:r>
        <w:rPr>
          <w:rStyle w:val="Inget"/>
          <w:rFonts w:ascii="Arial" w:hAnsi="Arial"/>
          <w:lang w:val="sv-SE"/>
        </w:rPr>
        <w:t>Att man m</w:t>
      </w:r>
      <w:r>
        <w:rPr>
          <w:rStyle w:val="Inget"/>
          <w:rFonts w:ascii="Arial" w:hAnsi="Arial"/>
          <w:lang w:val="sv-SE"/>
        </w:rPr>
        <w:t>å</w:t>
      </w:r>
      <w:r>
        <w:rPr>
          <w:rStyle w:val="Inget"/>
          <w:rFonts w:ascii="Arial" w:hAnsi="Arial"/>
          <w:lang w:val="sv-SE"/>
        </w:rPr>
        <w:t>st alltid s</w:t>
      </w:r>
      <w:r>
        <w:rPr>
          <w:rStyle w:val="Inget"/>
          <w:rFonts w:ascii="Arial" w:hAnsi="Arial"/>
          <w:lang w:val="sv-SE"/>
        </w:rPr>
        <w:t>ö</w:t>
      </w:r>
      <w:r>
        <w:rPr>
          <w:rStyle w:val="Inget"/>
          <w:rFonts w:ascii="Arial" w:hAnsi="Arial"/>
          <w:lang w:val="sv-SE"/>
        </w:rPr>
        <w:t>ka sina saker fr</w:t>
      </w:r>
      <w:r>
        <w:rPr>
          <w:rStyle w:val="Inget"/>
          <w:rFonts w:ascii="Arial" w:hAnsi="Arial"/>
          <w:lang w:val="sv-SE"/>
        </w:rPr>
        <w:t>å</w:t>
      </w:r>
      <w:r>
        <w:rPr>
          <w:rStyle w:val="Inget"/>
          <w:rFonts w:ascii="Arial" w:hAnsi="Arial"/>
          <w:lang w:val="sv-SE"/>
        </w:rPr>
        <w:t>n sk</w:t>
      </w:r>
      <w:r>
        <w:rPr>
          <w:rStyle w:val="Inget"/>
          <w:rFonts w:ascii="Arial" w:hAnsi="Arial"/>
          <w:lang w:val="sv-SE"/>
        </w:rPr>
        <w:t>å</w:t>
      </w:r>
      <w:r>
        <w:rPr>
          <w:rStyle w:val="Inget"/>
          <w:rFonts w:ascii="Arial" w:hAnsi="Arial"/>
          <w:lang w:val="sv-SE"/>
        </w:rPr>
        <w:t>pet.</w:t>
      </w:r>
      <w:r>
        <w:rPr>
          <w:rStyle w:val="Inget"/>
          <w:rFonts w:ascii="Arial" w:hAnsi="Arial"/>
          <w:lang w:val="sv-SE"/>
        </w:rPr>
        <w:t>”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Kun oppilaat kuvasivat, millaisessa luokassa he mieluiten opiskelisivat, hybridiluokassa olleista puolet nimesi juuri sen kaltaisen luokan mie</w:t>
      </w:r>
      <w:r>
        <w:rPr>
          <w:rStyle w:val="Inget"/>
          <w:rFonts w:ascii="Arial" w:hAnsi="Arial"/>
        </w:rPr>
        <w:t>luisaksi.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ksi viisi kuvaili hybridiluokan kaltaista tilaa nime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sit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suoraan ko. luokaksi. Loput vastaajista eiv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tienneet. Vain yksi oppilas vastasi haluavansa opiskella tavallisessa pulpettiluokassa.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  <w:lang w:val="sv-SE"/>
        </w:rPr>
      </w:pPr>
      <w:r>
        <w:rPr>
          <w:rStyle w:val="Inget"/>
          <w:rFonts w:ascii="Arial" w:hAnsi="Arial"/>
          <w:lang w:val="sv-SE"/>
        </w:rPr>
        <w:t>”</w:t>
      </w:r>
      <w:r>
        <w:rPr>
          <w:rStyle w:val="Inget"/>
          <w:rFonts w:ascii="Arial" w:hAnsi="Arial"/>
          <w:lang w:val="sv-SE"/>
        </w:rPr>
        <w:t xml:space="preserve">Det </w:t>
      </w:r>
      <w:r>
        <w:rPr>
          <w:rStyle w:val="Inget"/>
          <w:rFonts w:ascii="Arial" w:hAnsi="Arial"/>
          <w:lang w:val="sv-SE"/>
        </w:rPr>
        <w:t>ä</w:t>
      </w:r>
      <w:r>
        <w:rPr>
          <w:rStyle w:val="Inget"/>
          <w:rFonts w:ascii="Arial" w:hAnsi="Arial"/>
          <w:lang w:val="sv-SE"/>
        </w:rPr>
        <w:t>r kalt p</w:t>
      </w:r>
      <w:r>
        <w:rPr>
          <w:rStyle w:val="Inget"/>
          <w:rFonts w:ascii="Arial" w:hAnsi="Arial"/>
          <w:lang w:val="sv-SE"/>
        </w:rPr>
        <w:t xml:space="preserve">å </w:t>
      </w:r>
      <w:r>
        <w:rPr>
          <w:rStyle w:val="Inget"/>
          <w:rFonts w:ascii="Arial" w:hAnsi="Arial"/>
          <w:lang w:val="sv-SE"/>
        </w:rPr>
        <w:t>vintern (f</w:t>
      </w:r>
      <w:r>
        <w:rPr>
          <w:rStyle w:val="Inget"/>
          <w:rFonts w:ascii="Arial" w:hAnsi="Arial"/>
          <w:lang w:val="sv-SE"/>
        </w:rPr>
        <w:t>ö</w:t>
      </w:r>
      <w:r>
        <w:rPr>
          <w:rStyle w:val="Inget"/>
          <w:rFonts w:ascii="Arial" w:hAnsi="Arial"/>
          <w:lang w:val="sv-SE"/>
        </w:rPr>
        <w:t>r vi har glastak</w:t>
      </w:r>
      <w:r>
        <w:rPr>
          <w:rStyle w:val="Inget"/>
          <w:rFonts w:ascii="Arial" w:hAnsi="Arial"/>
          <w:lang w:val="sv-SE"/>
        </w:rPr>
        <w:t>).</w:t>
      </w:r>
      <w:r>
        <w:rPr>
          <w:rStyle w:val="Inget"/>
          <w:rFonts w:ascii="Arial" w:hAnsi="Arial"/>
          <w:lang w:val="sv-SE"/>
        </w:rPr>
        <w:t>”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  <w:lang w:val="sv-SE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Perinteisen luokan huonoina puolina mainittiin sotkuisuus, meluisuus, huono ilmanvaihto sek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luokan ahtaus. Kaikki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m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tekij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mainittiin useammissa vastauksissa. Toisia miellytt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neet korkeat tuolit ja pulpetit olivat osalle oppilaista liian korkeita</w:t>
      </w:r>
      <w:r>
        <w:rPr>
          <w:rStyle w:val="Inget"/>
          <w:rFonts w:ascii="Arial" w:hAnsi="Arial"/>
        </w:rPr>
        <w:t xml:space="preserve">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  <w:rPr>
          <w:rStyle w:val="Inget"/>
          <w:rFonts w:ascii="Arial" w:eastAsia="Arial" w:hAnsi="Arial" w:cs="Arial"/>
        </w:rPr>
      </w:pPr>
      <w:r>
        <w:rPr>
          <w:rStyle w:val="Inget"/>
          <w:rFonts w:ascii="Arial" w:hAnsi="Arial"/>
        </w:rPr>
        <w:t>My</w:t>
      </w:r>
      <w:r>
        <w:rPr>
          <w:rStyle w:val="Inget"/>
          <w:rFonts w:ascii="Arial" w:hAnsi="Arial"/>
        </w:rPr>
        <w:t>ö</w:t>
      </w:r>
      <w:r>
        <w:rPr>
          <w:rStyle w:val="Inget"/>
          <w:rFonts w:ascii="Arial" w:hAnsi="Arial"/>
        </w:rPr>
        <w:t>s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luokassa opiskelleet mieliv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t hybridiluokkaan, joko suoraan nimeten sen tai kuvailllen sen kaltaista tilaa. Seitsem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vastauksessa tila nimettiin ja kuudessa sit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kuvailtiin. Kolme oppilasta oli tyytyv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inen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luokassa </w:t>
      </w:r>
      <w:r>
        <w:rPr>
          <w:rStyle w:val="Inget"/>
          <w:rFonts w:ascii="Arial" w:hAnsi="Arial"/>
        </w:rPr>
        <w:t>ja opiskelisi siin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 xml:space="preserve">mieluiten. Erityismainintana nostettiin esiin luokkatilan matto ja avaruus. </w:t>
      </w:r>
    </w:p>
    <w:p w:rsidR="007F4817" w:rsidRDefault="007F4817">
      <w:pPr>
        <w:pStyle w:val="Normaali"/>
        <w:rPr>
          <w:rStyle w:val="Inget"/>
          <w:rFonts w:ascii="Arial" w:eastAsia="Arial" w:hAnsi="Arial" w:cs="Arial"/>
        </w:rPr>
      </w:pPr>
    </w:p>
    <w:p w:rsidR="007F4817" w:rsidRDefault="006B3814">
      <w:pPr>
        <w:pStyle w:val="Normaali"/>
      </w:pPr>
      <w:r>
        <w:rPr>
          <w:rStyle w:val="Inget"/>
          <w:rFonts w:ascii="Arial" w:hAnsi="Arial"/>
        </w:rPr>
        <w:t>Kaikkiaan tutkimuksessa havaittiin niin tilastollisia ett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kokemuksellisia eroja hybriditilassa ja perinteisess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tilassa opiskelleiden ryhmien v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lill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Lis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ks</w:t>
      </w:r>
      <w:r>
        <w:rPr>
          <w:rStyle w:val="Inget"/>
          <w:rFonts w:ascii="Arial" w:hAnsi="Arial"/>
        </w:rPr>
        <w:t>i havaittiin useita kiinnostavia suuntaa-antavia yhteyksi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joista erityisesti yhteytt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yleiseen oppimismotivaatioon voidaan pit</w:t>
      </w:r>
      <w:r>
        <w:rPr>
          <w:rStyle w:val="Inget"/>
          <w:rFonts w:ascii="Arial" w:hAnsi="Arial"/>
        </w:rPr>
        <w:t xml:space="preserve">ää </w:t>
      </w:r>
      <w:r>
        <w:rPr>
          <w:rStyle w:val="Inget"/>
          <w:rFonts w:ascii="Arial" w:hAnsi="Arial"/>
        </w:rPr>
        <w:t>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rke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. Vaikka otos oli kohtuullisen vaatimaton, n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iden yhteyksien merkitsevyys saa painoa juuri pienist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ryhmist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jolloin</w:t>
      </w:r>
      <w:r>
        <w:rPr>
          <w:rStyle w:val="Inget"/>
          <w:rFonts w:ascii="Arial" w:hAnsi="Arial"/>
        </w:rPr>
        <w:t xml:space="preserve"> esiintulleet muutokset ovat olleet pieniss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ryhmiss</w:t>
      </w:r>
      <w:r>
        <w:rPr>
          <w:rStyle w:val="Inget"/>
          <w:rFonts w:ascii="Arial" w:hAnsi="Arial"/>
        </w:rPr>
        <w:t xml:space="preserve">ä </w:t>
      </w:r>
      <w:r>
        <w:rPr>
          <w:rStyle w:val="Inget"/>
          <w:rFonts w:ascii="Arial" w:hAnsi="Arial"/>
        </w:rPr>
        <w:t>selke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sti samansuuntaisia. Tulosten vahvistaminen vaatii kuitenkin uusintatutkimuksia suuremmalla otoksella ja useammassa ryhm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ss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, jotta muun muassa taustatekij</w:t>
      </w:r>
      <w:r>
        <w:rPr>
          <w:rStyle w:val="Inget"/>
          <w:rFonts w:ascii="Arial" w:hAnsi="Arial"/>
        </w:rPr>
        <w:t>ä</w:t>
      </w:r>
      <w:r>
        <w:rPr>
          <w:rStyle w:val="Inget"/>
          <w:rFonts w:ascii="Arial" w:hAnsi="Arial"/>
        </w:rPr>
        <w:t>- opettajavaikutus voidaan kontrolloida.</w:t>
      </w:r>
    </w:p>
    <w:sectPr w:rsidR="007F4817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3814">
      <w:r>
        <w:separator/>
      </w:r>
    </w:p>
  </w:endnote>
  <w:endnote w:type="continuationSeparator" w:id="0">
    <w:p w:rsidR="00000000" w:rsidRDefault="006B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7" w:rsidRDefault="007F4817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3814">
      <w:r>
        <w:separator/>
      </w:r>
    </w:p>
  </w:footnote>
  <w:footnote w:type="continuationSeparator" w:id="0">
    <w:p w:rsidR="00000000" w:rsidRDefault="006B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7" w:rsidRDefault="007F4817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4817"/>
    <w:rsid w:val="006B3814"/>
    <w:rsid w:val="007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ali">
    <w:name w:val="Normaa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Inget">
    <w:name w:val="Inge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ali">
    <w:name w:val="Normaa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Inget">
    <w:name w:val="Ing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2673</Words>
  <Characters>21655</Characters>
  <Application>Microsoft Office Word</Application>
  <DocSecurity>4</DocSecurity>
  <Lines>180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Kaarina Kaupunki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Engblom Maria</dc:creator>
  <cp:lastModifiedBy>Engblom Maria</cp:lastModifiedBy>
  <cp:revision>2</cp:revision>
  <dcterms:created xsi:type="dcterms:W3CDTF">2016-01-20T13:54:00Z</dcterms:created>
  <dcterms:modified xsi:type="dcterms:W3CDTF">2016-01-20T13:54:00Z</dcterms:modified>
</cp:coreProperties>
</file>